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22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20"/>
        <w:gridCol w:w="6380"/>
        <w:gridCol w:w="1720"/>
        <w:tblGridChange w:id="0">
          <w:tblGrid>
            <w:gridCol w:w="2120"/>
            <w:gridCol w:w="6380"/>
            <w:gridCol w:w="1720"/>
          </w:tblGrid>
        </w:tblGridChange>
      </w:tblGrid>
      <w:tr>
        <w:trPr>
          <w:cantSplit w:val="0"/>
          <w:trHeight w:val="128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  <w:drawing>
                <wp:inline distB="19050" distT="19050" distL="19050" distR="19050">
                  <wp:extent cx="1047750" cy="1057275"/>
                  <wp:effectExtent b="0" l="0" r="0" t="0"/>
                  <wp:docPr id="2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0" cy="10572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0.28234481811523" w:lineRule="auto"/>
              <w:ind w:left="760.9954833984375" w:right="630.6195068359375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PROGRAMMAZIONE DIDATTICA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Mod. MQ08A03 Rev. 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A.S. 202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5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Pag. 1/4</w:t>
            </w:r>
          </w:p>
        </w:tc>
      </w:tr>
    </w:tbl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880.0" w:type="dxa"/>
        <w:jc w:val="left"/>
        <w:tblInd w:w="16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880"/>
        <w:tblGridChange w:id="0">
          <w:tblGrid>
            <w:gridCol w:w="9880"/>
          </w:tblGrid>
        </w:tblGridChange>
      </w:tblGrid>
      <w:tr>
        <w:trPr>
          <w:cantSplit w:val="0"/>
          <w:trHeight w:val="3140.000610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PROGRAMMA FINALE</w:t>
            </w:r>
          </w:p>
        </w:tc>
      </w:tr>
    </w:tbl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5" w:right="0" w:firstLine="0"/>
        <w:jc w:val="left"/>
        <w:rPr>
          <w:b w:val="1"/>
          <w:bCs w:val="1"/>
          <w:sz w:val="60"/>
          <w:szCs w:val="60"/>
          <w:vertAlign w:val="subscript"/>
        </w:rPr>
      </w:pPr>
      <w:r w:rsidDel="00000000" w:rsidR="00000000" w:rsidRPr="00000000">
        <w:rPr>
          <w:b w:val="1"/>
          <w:bCs w:val="1"/>
          <w:sz w:val="60"/>
          <w:szCs w:val="60"/>
          <w:vertAlign w:val="subscript"/>
          <w:rtl w:val="0"/>
        </w:rPr>
        <w:t xml:space="preserve">A.S 2025/2026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Classe 5 Sez. 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5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Disciplina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Chimica organica e Biochimica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595947265625" w:line="240" w:lineRule="auto"/>
        <w:ind w:left="310.92002868652344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bscript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bscript"/>
          <w:rtl w:val="0"/>
        </w:rPr>
        <w:t xml:space="preserve">Docenti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595947265625" w:line="240" w:lineRule="auto"/>
        <w:ind w:left="310.92002868652344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Prof.ssa Laura Lo Iudice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6"/>
          <w:szCs w:val="36"/>
          <w:rtl w:val="0"/>
        </w:rPr>
        <w:t xml:space="preserve"> e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Prof.ssa Barbara Barone</w:t>
      </w:r>
    </w:p>
    <w:tbl>
      <w:tblPr>
        <w:tblStyle w:val="Table3"/>
        <w:tblW w:w="1022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20"/>
        <w:gridCol w:w="6380"/>
        <w:gridCol w:w="1720"/>
        <w:tblGridChange w:id="0">
          <w:tblGrid>
            <w:gridCol w:w="2120"/>
            <w:gridCol w:w="6380"/>
            <w:gridCol w:w="1720"/>
          </w:tblGrid>
        </w:tblGridChange>
      </w:tblGrid>
      <w:tr>
        <w:trPr>
          <w:cantSplit w:val="0"/>
          <w:trHeight w:val="128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  <w:drawing>
                <wp:inline distB="19050" distT="19050" distL="19050" distR="19050">
                  <wp:extent cx="1047750" cy="1057275"/>
                  <wp:effectExtent b="0" l="0" r="0" t="0"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0" cy="10572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0.28234481811523" w:lineRule="auto"/>
              <w:ind w:left="760.9954833984375" w:right="630.6195068359375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PROGRAMMAZIONE DIDATTICA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Mod. MQ08A03 Rev. 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A.S. 202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5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6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Pag. 1/4</w:t>
            </w:r>
          </w:p>
        </w:tc>
      </w:tr>
    </w:tbl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980.0" w:type="dxa"/>
        <w:jc w:val="left"/>
        <w:tblInd w:w="1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40"/>
        <w:gridCol w:w="9240"/>
        <w:tblGridChange w:id="0">
          <w:tblGrid>
            <w:gridCol w:w="740"/>
            <w:gridCol w:w="9240"/>
          </w:tblGrid>
        </w:tblGridChange>
      </w:tblGrid>
      <w:tr>
        <w:trPr>
          <w:cantSplit w:val="0"/>
          <w:trHeight w:val="6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8.63998413085938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SEZ. 1 - CONOSCENZE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.000000953674316"/>
                <w:szCs w:val="24.000000953674316"/>
                <w:u w:val="none"/>
                <w:shd w:fill="auto" w:val="clear"/>
                <w:vertAlign w:val="superscript"/>
                <w:rtl w:val="0"/>
              </w:rPr>
              <w:t xml:space="preserve">1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ACQUISITE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44.8327159881592" w:lineRule="auto"/>
              <w:ind w:left="84.5599365234375" w:right="313.917236328125" w:firstLine="14.30007934570312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Struttura e classificazione delle biomolecole (lipidi, carboidrati, proteine). Caratteristiche dei legami presenti in queste molecole e reazioni fondamentali dei loro gruppi funzionali.</w:t>
            </w:r>
          </w:p>
        </w:tc>
      </w:tr>
      <w:tr>
        <w:trPr>
          <w:cantSplit w:val="0"/>
          <w:trHeight w:val="3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2.7000427246093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Gli enzimi: Aspetti cinetici di una reazione biochimica, catalisi enzimatica.</w:t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8.73992919921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Metabolismo: aspetti fondamentali del metabolismo aerobico e anaerobico di glucidi</w:t>
            </w:r>
          </w:p>
        </w:tc>
      </w:tr>
    </w:tbl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980.0" w:type="dxa"/>
        <w:jc w:val="left"/>
        <w:tblInd w:w="1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40"/>
        <w:gridCol w:w="9240"/>
        <w:tblGridChange w:id="0">
          <w:tblGrid>
            <w:gridCol w:w="740"/>
            <w:gridCol w:w="9240"/>
          </w:tblGrid>
        </w:tblGridChange>
      </w:tblGrid>
      <w:tr>
        <w:trPr>
          <w:cantSplit w:val="0"/>
          <w:trHeight w:val="620.00061035156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8.63998413085938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SEZ. 2 - COMPETENZE ACQUISITE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9.6200561523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Essere in grado di eseguire ed interpretare una metodica standard.</w:t>
            </w:r>
          </w:p>
        </w:tc>
      </w:tr>
      <w:tr>
        <w:trPr>
          <w:cantSplit w:val="0"/>
          <w:trHeight w:val="3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8.73992919921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Riconoscere le diversi classi di composti usando le metodiche standard.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6.75994873046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Acquisire capacità manuali nell’uso della vetreria e degli strumenti in dotazione al laboratorio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6.10000610351562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Utilizzare modelli appropriati per investigare su fenomeni e interpretare dati sperimentali</w:t>
            </w:r>
          </w:p>
        </w:tc>
      </w:tr>
      <w:tr>
        <w:trPr>
          <w:cantSplit w:val="0"/>
          <w:trHeight w:val="3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8.86001586914062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Saper usare strumenti tecnologici con particolare attenzione alla sicurezza e alla tutela dell'ambiente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8.86001586914062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Saper riconoscere le caratteristiche dell'ambiente naturale e le trasformazioni intervenute</w:t>
            </w:r>
          </w:p>
        </w:tc>
      </w:tr>
    </w:tbl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980.0" w:type="dxa"/>
        <w:jc w:val="left"/>
        <w:tblInd w:w="1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40"/>
        <w:gridCol w:w="9240"/>
        <w:tblGridChange w:id="0">
          <w:tblGrid>
            <w:gridCol w:w="740"/>
            <w:gridCol w:w="9240"/>
          </w:tblGrid>
        </w:tblGridChange>
      </w:tblGrid>
      <w:tr>
        <w:trPr>
          <w:cantSplit w:val="0"/>
          <w:trHeight w:val="60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8.63998413085938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SEZ. 3 - STRATEGIE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.000000953674316"/>
                <w:szCs w:val="24.000000953674316"/>
                <w:u w:val="none"/>
                <w:shd w:fill="auto" w:val="clear"/>
                <w:vertAlign w:val="superscript"/>
                <w:rtl w:val="0"/>
              </w:rPr>
              <w:t xml:space="preserve">2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ATTUATE PER IL CONSEGUIMENTO DELLE COMPETENZE</w:t>
            </w:r>
          </w:p>
        </w:tc>
      </w:tr>
      <w:tr>
        <w:trPr>
          <w:cantSplit w:val="0"/>
          <w:trHeight w:val="3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9.4000244140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Lezione frontale con uso del libro di testo.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6.97998046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Visione di video didattici con discussione guidata sull'argomento.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9.620056152343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Esercitazioni pratiche di laboratorio con annessa relazione.</w:t>
            </w:r>
          </w:p>
        </w:tc>
      </w:tr>
      <w:tr>
        <w:trPr>
          <w:cantSplit w:val="0"/>
          <w:trHeight w:val="3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9.4000244140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Lavoro di gruppo e individuale, mappe, esercizi operativi con discussione guidata.</w:t>
            </w:r>
          </w:p>
        </w:tc>
      </w:tr>
    </w:tbl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960.0" w:type="dxa"/>
        <w:jc w:val="left"/>
        <w:tblInd w:w="1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80"/>
        <w:gridCol w:w="9380"/>
        <w:tblGridChange w:id="0">
          <w:tblGrid>
            <w:gridCol w:w="580"/>
            <w:gridCol w:w="9380"/>
          </w:tblGrid>
        </w:tblGridChange>
      </w:tblGrid>
      <w:tr>
        <w:trPr>
          <w:cantSplit w:val="0"/>
          <w:trHeight w:val="5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8.63998413085938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SEZ. 4 - ABILITÀ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.000000953674316"/>
                <w:szCs w:val="24.000000953674316"/>
                <w:u w:val="none"/>
                <w:shd w:fill="auto" w:val="clear"/>
                <w:vertAlign w:val="superscript"/>
                <w:rtl w:val="0"/>
              </w:rPr>
              <w:t xml:space="preserve">3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RAGGIUNTE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.3717384338379" w:lineRule="auto"/>
              <w:ind w:left="102.25997924804688" w:right="41.378173828125" w:firstLine="6.6000366210937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Selezionare informazioni su sostanze in uso nel laboratorio di chimica organica; applicare le normative di sicurezza e prevenzione per la tutela della salute e dell’ambiente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.50003051757812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Interpretare dati e risultati sperimentali in relazione ai modelli teorici di riferimento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8.73992919921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Rappresentare e denominare una specie chimica organica mediante formule di struttura, condensate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.3717384338379" w:lineRule="auto"/>
              <w:ind w:left="105.780029296875" w:right="31.4697265625" w:hanging="7.0401000976562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Riconoscere le interazioni intermolecolari, la geometria delle molecole e le proprietà fisiche delle sostanze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79.82696533203125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2.92007446289062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Correlare le proprietà chimiche e chimico-fisiche alla struttura delle principali classi di composti</w:t>
            </w:r>
          </w:p>
        </w:tc>
      </w:tr>
      <w:tr>
        <w:trPr>
          <w:cantSplit w:val="0"/>
          <w:trHeight w:val="3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79.82696533203125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.50003051757812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Individuare i centri di reattività di una specie chimica e classificare il suo comportamento chimico</w:t>
            </w:r>
          </w:p>
        </w:tc>
      </w:tr>
    </w:tbl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4.03948307037354" w:lineRule="auto"/>
        <w:ind w:left="301.9200134277344" w:right="262.88818359375" w:firstLine="5.4000091552734375"/>
        <w:jc w:val="left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Riferirsi a quanto riportato nel documento del cdc adattandole alla parte teorica della propria disciplina.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Riportare le strategie utilizzate. Ad esempio: uso del manuale e delle fonti, lezione interattiva, discussione guidata, visione e analisi di documenti iconografici, ricerca sulla rete, lavoro di gruppo e tra gruppi. Web-quest, Big6, KWL, apprendistato cognitivo, esagono, organizzatori grafici (mappa concettuale, …).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3.9600372314453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3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 individuare nella scheda relativa alla disciplina nel DPR 15/3/10 “Linee guida per l’Istruzione Tecnica”.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960.0" w:type="dxa"/>
        <w:jc w:val="left"/>
        <w:tblInd w:w="1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80"/>
        <w:gridCol w:w="9380"/>
        <w:tblGridChange w:id="0">
          <w:tblGrid>
            <w:gridCol w:w="580"/>
            <w:gridCol w:w="9380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1.27998352050781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CONTENUTI SVOLTI</w:t>
            </w:r>
          </w:p>
        </w:tc>
      </w:tr>
      <w:tr>
        <w:trPr>
          <w:cantSplit w:val="0"/>
          <w:trHeight w:val="14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88847255706787" w:lineRule="auto"/>
              <w:ind w:left="98.84002685546875" w:right="43.02001953125" w:firstLine="5.760040283203125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CARBOIDRATI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 classificazione, caratteristiche chimico fisiche e biologiche, reattività. Funzione dei glucidi. Monosaccaridi: strutture emiacetaliche. Anomeria e mutarotazione. Legame glicosidico. Disaccaridi e polisaccaridi</w:t>
            </w:r>
          </w:p>
        </w:tc>
      </w:tr>
      <w:tr>
        <w:trPr>
          <w:cantSplit w:val="0"/>
          <w:trHeight w:val="1920.000610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.3717384338379" w:lineRule="auto"/>
              <w:ind w:left="96.43997192382812" w:right="27.9931640625" w:firstLine="0.48004150390625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ACIDI GRASSI, LIPIDI SAPONIFICABILI E LIPIDI NON SAPONIFICABILI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Proprietà chimiche e fisiche. Acidi grassi saturi e insaturi. Prostaglandine. Lipidi: caratteristiche strutturali e funzionali. Gliceridi neutri e fosfolipidi Saponificazione dei grassi e degli oli, reattività dei gliceridi. Vitamine liposolubili.</w:t>
            </w:r>
          </w:p>
        </w:tc>
      </w:tr>
      <w:tr>
        <w:trPr>
          <w:cantSplit w:val="0"/>
          <w:trHeight w:val="44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89.412231445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88847255706787" w:lineRule="auto"/>
              <w:ind w:left="102.92007446289062" w:right="40.71044921875" w:hanging="6.00006103515625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AMMINOACIDI E PROTEINE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caratteristiche, classificazione e proprietà chimico-fisiche degli amminoacidi. Legame peptidico. Proteine: caratteristiche chimico-fisiche e biologiche, funzioni, strutture proteiche (primaria, secondaria, terziaria e quaternaria), classificazione (fibrose e globulari), denaturazione. Emoglobina e mioglobina: struttura e funzioni, curve di saturazione, cooperatività.. 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72.96142578125" w:line="229.88847255706787" w:lineRule="auto"/>
              <w:ind w:left="94.51995849609375" w:right="155.05126953125" w:firstLine="5.27999877929687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ENZIMI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definizione e caratteristiche. Sito attivo: modello chiave e serratura e adattamento indotto. Classificazione e nomenclatura. Meccanismo d’ azione. Specificità. Regolazione passiva dell’attività enzimatica. Equazione di Michaelis e Menten e Km. Confronto Km glucochinasi ed esochinasi: relative considerazioni. Regolazione attiva dell’attività enzimatica: effetto degli inibitori (inibizione reversibile, irreversibile, competitiva e non competitiva, mista). Regolazione degli enzimi allosterici (curve di attività), regolazione feedback, modificazione covalente, attivazione degli zimogeni. Compartimentazione degli enzimi. Gli isoenzimi.</w:t>
            </w:r>
          </w:p>
        </w:tc>
      </w:tr>
      <w:tr>
        <w:trPr>
          <w:cantSplit w:val="0"/>
          <w:trHeight w:val="2879.99938964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.3717384338379" w:lineRule="auto"/>
              <w:ind w:left="96.43997192382812" w:right="37.77099609375" w:firstLine="3.3599853515625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METABOLISMO GLUCIDICO: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Glicolisi: fase di investimento e di rendimento. Bioenergetica della glicolisi e controllo enzimatico. Destino del privato in condizioni anaerobiche: fermentazione lattica e fermentazione alcolica. Il catabolismo aerobico: La respirazione cellulare. La decarbossilazione ossidativa del piruvato, Ciclo di Krebs e fosforilazione ossidativa ( la catena di trasporto degli elettroni e la chemiosmosi) 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92144775390625" w:line="264.3717384338379" w:lineRule="auto"/>
              <w:ind w:left="99.08004760742188" w:right="1761.881103515625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Metabolismo degli zuccheri: gluconeogenesi, glicogenolisi e glicogenosintesi. Metabolismo dei lipidi: beta ossidazione e sintesi dei lipidi 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921295166015625" w:line="240" w:lineRule="auto"/>
              <w:ind w:left="99.0800476074218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Metabolismo delle proteine. Integrazione delle vie metaboliche regolazione ormonale.</w:t>
            </w:r>
          </w:p>
        </w:tc>
      </w:tr>
      <w:tr>
        <w:trPr>
          <w:cantSplit w:val="0"/>
          <w:trHeight w:val="1400.00122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6.92001342773438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single"/>
                <w:vertAlign w:val="baseline"/>
                <w:rtl w:val="0"/>
              </w:rPr>
              <w:t xml:space="preserve">ATTIVITÀ DI LABORATORIO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1.8731689453125" w:line="229.88847255706787" w:lineRule="auto"/>
              <w:ind w:left="101.00006103515625" w:right="464.95361328125" w:firstLine="6.47994995117187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Studio di matrice complessa: il latte.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Approccio all' analisi chimica di miscele complesse.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Importanza della conoscenza e approfondimento dei componenti da separare e quantificare.</w:t>
            </w:r>
          </w:p>
        </w:tc>
      </w:tr>
    </w:tbl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3.96814346313477" w:lineRule="auto"/>
        <w:ind w:left="794.5199584960938" w:right="219.339599609375" w:firstLine="8.88000488281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Grado di acidità del latte. Abbassamento del pH con CH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.000000953674316"/>
          <w:szCs w:val="24.000000953674316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COOH al 50%, valutazione e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ertinenza dell’uso di altri acidi per lo scopo. Digestione della fase solida. Purificazione del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siero estratto con alcool etilico. Determinazione della massa di lattosio ottenuto dall' estrazione.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Saggio di Fehling. Funzione dei componenti del reattivo per evidenziare le proprietà riducenti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del lattosio. Resa di reazione. Analisi spettrofotometrica del lattosio. Limiti di attendibilità e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rilevabilità dello spettrofotometro. Opportunità della diluizione del campione.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0986328125" w:line="240" w:lineRule="auto"/>
        <w:ind w:left="800.2799987792969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Fermentazione e sostenibilità.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88847255706787" w:lineRule="auto"/>
        <w:ind w:left="796.9200134277344" w:right="185.38818359375" w:firstLine="1.9200134277343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Fermentazione del glucosio con lievito di birra. Determinazione della densità della miscela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idroalcolica dopo fermentazione e distillazione, per via diretta e indiretta. Discussione dei dati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ottenuti e valutazione della resa in alcool. Riciclo degli scarti: discussione sui possibili utilizzi e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verifica dell'esaustività della fase solida. Resa teorica di reazione e resa del processo di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fermentazione. Aspetti generali sulla produzione dell'alcool etilico per uso alimentare e per gli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altri usi.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00830078125" w:line="229.88847255706787" w:lineRule="auto"/>
        <w:ind w:left="794.5199584960938" w:right="457.735595703125" w:firstLine="4.3200683593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Fermentazione alcolica-Produzione industriale della birra presso Birrificio Peroni.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Proteine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Titolazione potenziometrica della glicina e della arginina per la determinazione del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un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to isoelettrico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00830078125" w:line="229.88847255706787" w:lineRule="auto"/>
        <w:ind w:left="794.7599792480469" w:right="1045.5474853515625" w:firstLine="4.7999572753906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Riutilizzo di materiale di scarto: olio esausto.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saponificazione; La produzione del biodiesel. </w:t>
      </w:r>
    </w:p>
    <w:tbl>
      <w:tblPr>
        <w:tblStyle w:val="Table9"/>
        <w:tblW w:w="9920.0" w:type="dxa"/>
        <w:jc w:val="left"/>
        <w:tblInd w:w="1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920"/>
        <w:tblGridChange w:id="0">
          <w:tblGrid>
            <w:gridCol w:w="9920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.0399780273437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TESTI E MATERIALI UTILIZZATI</w:t>
            </w:r>
          </w:p>
        </w:tc>
      </w:tr>
      <w:tr>
        <w:trPr>
          <w:cantSplit w:val="0"/>
          <w:trHeight w:val="9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3.39996337890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Boschi, Rizzoni; “Biochimicamente. Le biomolecole” Zanichelli 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3.39996337890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Boschi, Rizzoni; “Biochimicamente. L’energia e i metabolismi” Zanichelli 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3.39996337890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Materiali condivisi su class room dalle docenti</w:t>
            </w:r>
          </w:p>
        </w:tc>
      </w:tr>
    </w:tbl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2.88002014160156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Frascati, 3 giugno ’26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0.887451171875" w:line="240" w:lineRule="auto"/>
        <w:ind w:left="302.88002014160156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FIRMA DOCENTI FIRMA ALUNNI 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0.379638671875" w:line="667.1256065368652" w:lineRule="auto"/>
        <w:ind w:left="300" w:right="1914.84130859375" w:firstLine="16.399993896484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FIRMA DOCENTI FIRMA ALUNNI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widowControl w:val="0"/>
        <w:spacing w:before="1100.379638671875" w:line="667.1256065368652" w:lineRule="auto"/>
        <w:ind w:left="300" w:right="1914.84130859375" w:firstLine="16.399993896484375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widowControl w:val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</w:p>
    <w:tbl>
      <w:tblPr>
        <w:tblStyle w:val="Table10"/>
        <w:tblW w:w="9920.0" w:type="dxa"/>
        <w:jc w:val="left"/>
        <w:tblInd w:w="1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0"/>
        <w:gridCol w:w="7320"/>
        <w:gridCol w:w="2120"/>
        <w:tblGridChange w:id="0">
          <w:tblGrid>
            <w:gridCol w:w="480"/>
            <w:gridCol w:w="7320"/>
            <w:gridCol w:w="2120"/>
          </w:tblGrid>
        </w:tblGridChange>
      </w:tblGrid>
      <w:tr>
        <w:trPr>
          <w:cantSplit w:val="0"/>
          <w:trHeight w:val="56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4.00516986846924" w:lineRule="auto"/>
              <w:ind w:left="105.03997802734375" w:right="837.69287109375" w:firstLine="3.600006103515625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SEZ. 7 – ATTIVITÀ CULTURALI ED INTEGRATIVE, PROGETTI, PROPOSTE DAL TERRITORIO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.000000953674316"/>
                <w:szCs w:val="24.000000953674316"/>
                <w:u w:val="none"/>
                <w:shd w:fill="auto" w:val="clear"/>
                <w:vertAlign w:val="superscript"/>
                <w:rtl w:val="0"/>
              </w:rPr>
              <w:t xml:space="preserve">4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REALIZZATI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39.78271484375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DISCIPLINE 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COINVOLTE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960.0" w:type="dxa"/>
        <w:jc w:val="left"/>
        <w:tblInd w:w="1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40"/>
        <w:gridCol w:w="9420"/>
        <w:tblGridChange w:id="0">
          <w:tblGrid>
            <w:gridCol w:w="540"/>
            <w:gridCol w:w="9420"/>
          </w:tblGrid>
        </w:tblGridChange>
      </w:tblGrid>
      <w:tr>
        <w:trPr>
          <w:cantSplit w:val="0"/>
          <w:trHeight w:val="58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.63998413085938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.000000953674316"/>
                <w:szCs w:val="24.000000953674316"/>
                <w:u w:val="none"/>
                <w:shd w:fill="auto" w:val="clear"/>
                <w:vertAlign w:val="superscript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SEZ. 8 - MODALITÀ DI VERIFICA DELL'APPRENDIMENTO E VALUTAZIONE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.000000953674316"/>
                <w:szCs w:val="24.000000953674316"/>
                <w:u w:val="none"/>
                <w:shd w:fill="auto" w:val="clear"/>
                <w:vertAlign w:val="superscript"/>
                <w:rtl w:val="0"/>
              </w:rPr>
              <w:t xml:space="preserve">5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52.32696533203125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Verifiche formative: vengono condotte in itinere e comunque nel corso e/o alla fine di un’unità didattica</w:t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52.32696533203125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1.97998046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Verifiche sommative: vengono effettuate al termine di una o più unità didattiche.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88847255706787" w:lineRule="auto"/>
              <w:ind w:left="107.25997924804688" w:right="120.467529296875" w:hanging="3.520050048828125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 le verifiche, sia formative che sommative, si ricorrerà a prove scritte/orali, quesiti a risposta aperta e a scelta multipla, completamento di frasi, esecuzione di esercizi, quesiti a risposta aperta, interrogazioni, discussioni guidate, relazioni di laboratorio.</w:t>
            </w:r>
          </w:p>
        </w:tc>
      </w:tr>
    </w:tbl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960.0" w:type="dxa"/>
        <w:jc w:val="left"/>
        <w:tblInd w:w="1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960"/>
        <w:tblGridChange w:id="0">
          <w:tblGrid>
            <w:gridCol w:w="9960"/>
          </w:tblGrid>
        </w:tblGridChange>
      </w:tblGrid>
      <w:tr>
        <w:trPr>
          <w:cantSplit w:val="0"/>
          <w:trHeight w:val="5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.63998413085938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SEZ. 9 – METODOLOGIE E STRUMENTI UTILIZZATI</w:t>
            </w:r>
          </w:p>
        </w:tc>
      </w:tr>
    </w:tbl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3.7200164794922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4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Come deliberate dal Consiglio di Classe.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4.3199920654297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Indicare le modalità adottate per le verifiche formative e sommative </w:t>
      </w:r>
    </w:p>
    <w:tbl>
      <w:tblPr>
        <w:tblStyle w:val="Table13"/>
        <w:tblW w:w="1022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20"/>
        <w:gridCol w:w="6380"/>
        <w:gridCol w:w="1720"/>
        <w:tblGridChange w:id="0">
          <w:tblGrid>
            <w:gridCol w:w="2120"/>
            <w:gridCol w:w="6380"/>
            <w:gridCol w:w="1720"/>
          </w:tblGrid>
        </w:tblGridChange>
      </w:tblGrid>
      <w:tr>
        <w:trPr>
          <w:cantSplit w:val="0"/>
          <w:trHeight w:val="128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  <w:drawing>
                <wp:inline distB="19050" distT="19050" distL="19050" distR="19050">
                  <wp:extent cx="1047750" cy="1057275"/>
                  <wp:effectExtent b="0" l="0" r="0" t="0"/>
                  <wp:docPr id="1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0" cy="10572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0.28234481811523" w:lineRule="auto"/>
              <w:ind w:left="760.9954833984375" w:right="630.6195068359375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PROGRAMMAZIONE DIDATTICA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Mod. MQ08A03 Rev. 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A.S. 2024/25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Pag. 1/4</w:t>
            </w:r>
          </w:p>
        </w:tc>
      </w:tr>
    </w:tbl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9960.0" w:type="dxa"/>
        <w:jc w:val="left"/>
        <w:tblInd w:w="1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40"/>
        <w:gridCol w:w="9420"/>
        <w:tblGridChange w:id="0">
          <w:tblGrid>
            <w:gridCol w:w="540"/>
            <w:gridCol w:w="9420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52.32696533203125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4.400024414062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Lezione interattiva e partecipata.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.3739700317383" w:lineRule="auto"/>
              <w:ind w:left="106.60003662109375" w:right="55.802001953125" w:hanging="2.86010742187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Discussione collettiva guidata, brain storming, problem-solving, apprendimento cooperativo per piccoli gruppi.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52.32696533203125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1.75994873046875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Attività di laboratorio.</w:t>
            </w:r>
          </w:p>
        </w:tc>
      </w:tr>
      <w:tr>
        <w:trPr>
          <w:cantSplit w:val="0"/>
          <w:trHeight w:val="3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52.32696533203125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3.86001586914062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Supporti multimediali, video didattici, schemi, formulari, mappe concettuali, libro di testo.</w:t>
            </w:r>
          </w:p>
        </w:tc>
      </w:tr>
    </w:tbl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9920.0" w:type="dxa"/>
        <w:jc w:val="left"/>
        <w:tblInd w:w="1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920"/>
        <w:tblGridChange w:id="0">
          <w:tblGrid>
            <w:gridCol w:w="9920"/>
          </w:tblGrid>
        </w:tblGridChange>
      </w:tblGrid>
      <w:tr>
        <w:trPr>
          <w:cantSplit w:val="0"/>
          <w:trHeight w:val="7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.63998413085938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.000000953674316"/>
                <w:szCs w:val="24.000000953674316"/>
                <w:u w:val="none"/>
                <w:shd w:fill="auto" w:val="clear"/>
                <w:vertAlign w:val="superscript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SEZ. 10 - VALUTAZIONE DELL’AZIONE DIDATTICA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.000000953674316"/>
                <w:szCs w:val="24.000000953674316"/>
                <w:u w:val="none"/>
                <w:shd w:fill="auto" w:val="clear"/>
                <w:vertAlign w:val="superscript"/>
                <w:rtl w:val="0"/>
              </w:rPr>
              <w:t xml:space="preserve">6</w:t>
            </w:r>
          </w:p>
        </w:tc>
      </w:tr>
      <w:tr>
        <w:trPr>
          <w:cantSplit w:val="0"/>
          <w:trHeight w:val="2340.000610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88721370697021" w:lineRule="auto"/>
              <w:ind w:left="99.56001281738281" w:right="22.93212890625" w:firstLine="4.8400115966796875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 classe ha mostrato nel complesso un buon livello di preparazione. Gli studenti si sono dimostrati attenti, partecipi e generalmente motivati, affrontando con serietà le attività proposte. Alcuni alunni si sono distinti per eccellenza e costanza, raggiungendo valutazioni elevate, grazie a uno studio approfondito e a una spiccata autonomia. Altri, pur con qualche difficoltà, hanno mantenuto un andamento positivo, raggiungendo risultati pienamente sufficienti. Il comportamento è stato corretto, il gruppo classe collaborativo e capace di sostenere un confronto costruttivo con i docenti. L’esperienza scolastica si è svolta in un clima sereno e stimolante. Per gli alunni con bisogni educativi speciali sono state adottate le strategie ed applicati gli strumenti dispensativi e compensativi stabiliti nei loro PDP.</w:t>
            </w:r>
          </w:p>
        </w:tc>
      </w:tr>
    </w:tbl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9920.0" w:type="dxa"/>
        <w:jc w:val="left"/>
        <w:tblInd w:w="1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920"/>
        <w:tblGridChange w:id="0">
          <w:tblGrid>
            <w:gridCol w:w="9920"/>
          </w:tblGrid>
        </w:tblGridChange>
      </w:tblGrid>
      <w:tr>
        <w:trPr>
          <w:cantSplit w:val="0"/>
          <w:trHeight w:val="7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.63998413085938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.000000953674316"/>
                <w:szCs w:val="24.000000953674316"/>
                <w:u w:val="none"/>
                <w:shd w:fill="auto" w:val="clear"/>
                <w:vertAlign w:val="superscript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SEZ. 11 – TESTI E MATERIALI UTILIZZATI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.000000953674316"/>
                <w:szCs w:val="24.000000953674316"/>
                <w:u w:val="none"/>
                <w:shd w:fill="auto" w:val="clear"/>
                <w:vertAlign w:val="superscript"/>
                <w:rtl w:val="0"/>
              </w:rPr>
              <w:t xml:space="preserve">7</w:t>
            </w:r>
          </w:p>
        </w:tc>
      </w:tr>
      <w:tr>
        <w:trPr>
          <w:cantSplit w:val="0"/>
          <w:trHeight w:val="9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.19999694824219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-Boschi, Rizzoni; “Biochimicamente. Le biomolecole” Zanichelli 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.19999694824219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-Boschi, Rizzoni; “Biochimicamente. L’energia e i metabolismi” Zanichelli 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.19999694824219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-Materiali condivisi su class room dalle docenti</w:t>
            </w:r>
          </w:p>
        </w:tc>
      </w:tr>
    </w:tbl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3.34262371063232" w:lineRule="auto"/>
        <w:ind w:left="298.39996337890625" w:right="1270.272216796875" w:firstLine="9.160003662109375"/>
        <w:jc w:val="left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6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Eventuali osservazioni sull’andamento dell’anno scolastico (tempi, sviluppo del programma, continuità) e sull’ef icacia della proposta didattica (risultati in termini di formazione e crescita culturale)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58.5600280761719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7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Libro di testo in adozione, materiali didattici (anche multimediali) utilizzati </w:t>
      </w:r>
    </w:p>
    <w:sectPr>
      <w:pgSz w:h="16840" w:w="11920" w:orient="portrait"/>
      <w:pgMar w:bottom="608.466796875" w:top="809.99755859375" w:left="830" w:right="87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</w:tblPr>
  </w:style>
  <w:style w:type="table" w:styleId="Table13">
    <w:basedOn w:val="TableNormal"/>
    <w:tblPr>
      <w:tblStyleRowBandSize w:val="1"/>
      <w:tblStyleColBandSize w:val="1"/>
    </w:tblPr>
  </w:style>
  <w:style w:type="table" w:styleId="Table14">
    <w:basedOn w:val="TableNormal"/>
    <w:tblPr>
      <w:tblStyleRowBandSize w:val="1"/>
      <w:tblStyleColBandSize w:val="1"/>
    </w:tblPr>
  </w:style>
  <w:style w:type="table" w:styleId="Table15">
    <w:basedOn w:val="TableNormal"/>
    <w:tblPr>
      <w:tblStyleRowBandSize w:val="1"/>
      <w:tblStyleColBandSize w:val="1"/>
    </w:tblPr>
  </w:style>
  <w:style w:type="table" w:styleId="Table16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